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2022</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4"/>
        <w:tblW w:w="9038" w:type="dxa"/>
        <w:jc w:val="center"/>
        <w:tblInd w:w="0" w:type="dxa"/>
        <w:tblLayout w:type="fixed"/>
        <w:tblCellMar>
          <w:top w:w="0" w:type="dxa"/>
          <w:left w:w="108" w:type="dxa"/>
          <w:bottom w:w="0" w:type="dxa"/>
          <w:right w:w="108" w:type="dxa"/>
        </w:tblCellMar>
      </w:tblPr>
      <w:tblGrid>
        <w:gridCol w:w="389"/>
        <w:gridCol w:w="405"/>
        <w:gridCol w:w="675"/>
        <w:gridCol w:w="1923"/>
        <w:gridCol w:w="1221"/>
        <w:gridCol w:w="1101"/>
        <w:gridCol w:w="915"/>
        <w:gridCol w:w="149"/>
        <w:gridCol w:w="241"/>
        <w:gridCol w:w="463"/>
        <w:gridCol w:w="500"/>
        <w:gridCol w:w="346"/>
        <w:gridCol w:w="710"/>
      </w:tblGrid>
      <w:tr>
        <w:tblPrEx>
          <w:tblLayout w:type="fixed"/>
          <w:tblCellMar>
            <w:top w:w="0" w:type="dxa"/>
            <w:left w:w="108" w:type="dxa"/>
            <w:bottom w:w="0" w:type="dxa"/>
            <w:right w:w="108" w:type="dxa"/>
          </w:tblCellMar>
        </w:tblPrEx>
        <w:trPr>
          <w:trHeight w:val="651" w:hRule="exact"/>
          <w:jc w:val="center"/>
        </w:trPr>
        <w:tc>
          <w:tcPr>
            <w:tcW w:w="7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8244"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饲料生产基地自动化、安全环保、提效降耗设备升级项目</w:t>
            </w:r>
          </w:p>
        </w:tc>
      </w:tr>
      <w:tr>
        <w:tblPrEx>
          <w:tblLayout w:type="fixed"/>
          <w:tblCellMar>
            <w:top w:w="0" w:type="dxa"/>
            <w:left w:w="108" w:type="dxa"/>
            <w:bottom w:w="0" w:type="dxa"/>
            <w:right w:w="108" w:type="dxa"/>
          </w:tblCellMar>
        </w:tblPrEx>
        <w:trPr>
          <w:trHeight w:val="492" w:hRule="exact"/>
          <w:jc w:val="center"/>
        </w:trPr>
        <w:tc>
          <w:tcPr>
            <w:tcW w:w="7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92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北京三元种业科技股份有限公司</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饲料分公司</w:t>
            </w:r>
          </w:p>
        </w:tc>
      </w:tr>
      <w:tr>
        <w:tblPrEx>
          <w:tblLayout w:type="fixed"/>
          <w:tblCellMar>
            <w:top w:w="0" w:type="dxa"/>
            <w:left w:w="108" w:type="dxa"/>
            <w:bottom w:w="0" w:type="dxa"/>
            <w:right w:w="108" w:type="dxa"/>
          </w:tblCellMar>
        </w:tblPrEx>
        <w:trPr>
          <w:trHeight w:val="749" w:hRule="exact"/>
          <w:jc w:val="center"/>
        </w:trPr>
        <w:tc>
          <w:tcPr>
            <w:tcW w:w="79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92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邓露芳</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13810185893</w:t>
            </w:r>
          </w:p>
        </w:tc>
      </w:tr>
      <w:tr>
        <w:tblPrEx>
          <w:tblLayout w:type="fixed"/>
          <w:tblCellMar>
            <w:top w:w="0" w:type="dxa"/>
            <w:left w:w="108" w:type="dxa"/>
            <w:bottom w:w="0" w:type="dxa"/>
            <w:right w:w="108" w:type="dxa"/>
          </w:tblCellMar>
        </w:tblPrEx>
        <w:trPr>
          <w:trHeight w:val="567" w:hRule="exact"/>
          <w:jc w:val="center"/>
        </w:trPr>
        <w:tc>
          <w:tcPr>
            <w:tcW w:w="79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25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0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Layout w:type="fixed"/>
          <w:tblCellMar>
            <w:top w:w="0" w:type="dxa"/>
            <w:left w:w="108" w:type="dxa"/>
            <w:bottom w:w="0" w:type="dxa"/>
            <w:right w:w="108" w:type="dxa"/>
          </w:tblCellMar>
        </w:tblPrEx>
        <w:trPr>
          <w:trHeight w:val="306" w:hRule="exact"/>
          <w:jc w:val="center"/>
        </w:trPr>
        <w:tc>
          <w:tcPr>
            <w:tcW w:w="79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5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870.074209</w:t>
            </w:r>
          </w:p>
        </w:tc>
        <w:tc>
          <w:tcPr>
            <w:tcW w:w="11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853.369906</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851.1453</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9.97</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10</w:t>
            </w:r>
          </w:p>
        </w:tc>
      </w:tr>
      <w:tr>
        <w:tblPrEx>
          <w:tblLayout w:type="fixed"/>
          <w:tblCellMar>
            <w:top w:w="0" w:type="dxa"/>
            <w:left w:w="108" w:type="dxa"/>
            <w:bottom w:w="0" w:type="dxa"/>
            <w:right w:w="108" w:type="dxa"/>
          </w:tblCellMar>
        </w:tblPrEx>
        <w:trPr>
          <w:trHeight w:val="601" w:hRule="exact"/>
          <w:jc w:val="center"/>
        </w:trPr>
        <w:tc>
          <w:tcPr>
            <w:tcW w:w="79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5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764.55</w:t>
            </w:r>
          </w:p>
        </w:tc>
        <w:tc>
          <w:tcPr>
            <w:tcW w:w="11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764.55</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764.55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10</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r>
      <w:tr>
        <w:tblPrEx>
          <w:tblLayout w:type="fixed"/>
          <w:tblCellMar>
            <w:top w:w="0" w:type="dxa"/>
            <w:left w:w="108" w:type="dxa"/>
            <w:bottom w:w="0" w:type="dxa"/>
            <w:right w:w="108" w:type="dxa"/>
          </w:tblCellMar>
        </w:tblPrEx>
        <w:trPr>
          <w:trHeight w:val="567" w:hRule="exact"/>
          <w:jc w:val="center"/>
        </w:trPr>
        <w:tc>
          <w:tcPr>
            <w:tcW w:w="79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5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rPr>
              <w:t>—</w:t>
            </w:r>
          </w:p>
        </w:tc>
        <w:tc>
          <w:tcPr>
            <w:tcW w:w="11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rPr>
              <w:t>—</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rPr>
              <w:t>—</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r>
      <w:tr>
        <w:tblPrEx>
          <w:tblLayout w:type="fixed"/>
          <w:tblCellMar>
            <w:top w:w="0" w:type="dxa"/>
            <w:left w:w="108" w:type="dxa"/>
            <w:bottom w:w="0" w:type="dxa"/>
            <w:right w:w="108" w:type="dxa"/>
          </w:tblCellMar>
        </w:tblPrEx>
        <w:trPr>
          <w:trHeight w:val="306" w:hRule="exact"/>
          <w:jc w:val="center"/>
        </w:trPr>
        <w:tc>
          <w:tcPr>
            <w:tcW w:w="79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59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22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105.524209</w:t>
            </w:r>
          </w:p>
        </w:tc>
        <w:tc>
          <w:tcPr>
            <w:tcW w:w="11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88.819906</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86.5953</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9.75</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w:t>
            </w:r>
          </w:p>
        </w:tc>
      </w:tr>
      <w:tr>
        <w:tblPrEx>
          <w:tblLayout w:type="fixed"/>
          <w:tblCellMar>
            <w:top w:w="0" w:type="dxa"/>
            <w:left w:w="108" w:type="dxa"/>
            <w:bottom w:w="0" w:type="dxa"/>
            <w:right w:w="108" w:type="dxa"/>
          </w:tblCellMar>
        </w:tblPrEx>
        <w:trPr>
          <w:trHeight w:val="548" w:hRule="exact"/>
          <w:jc w:val="center"/>
        </w:trPr>
        <w:tc>
          <w:tcPr>
            <w:tcW w:w="38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3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2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Layout w:type="fixed"/>
          <w:tblCellMar>
            <w:top w:w="0" w:type="dxa"/>
            <w:left w:w="108" w:type="dxa"/>
            <w:bottom w:w="0" w:type="dxa"/>
            <w:right w:w="108" w:type="dxa"/>
          </w:tblCellMar>
        </w:tblPrEx>
        <w:trPr>
          <w:trHeight w:val="5607" w:hRule="exact"/>
          <w:jc w:val="center"/>
        </w:trPr>
        <w:tc>
          <w:tcPr>
            <w:tcW w:w="38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3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生产车间新增自动缝包上签系统、机器人码垛系统、自动卸车系统，实现设备的自动化，减少人力，提高工作效率；电动叉车节能环保、清洁高效，是现代化饲料生产车间必不可缺的生产工具；新增生产风险控制关键点监测系统和环境安全监测系统，使生产重要环节及厂区环境可监控，确保安全生产；电动车充电及电气工程可满足员工的充电需求，确保充电安全；蒸汽压片玉米主机可提高压片玉米的生产效率，降低生产成本。化验室安装废气净化装置，可确保废气经净化处理达标后排放；增加近红外多功能品质快速分析仪、手持式近红外光谱仪可快速检测饲料原料和产品的各种营养成分指标，其中，手持式近红外可满足现场品控人员现场分析工作的需求；自动索氏脂肪仪、全自动凯氏定氮仪可实现饲料原料和产品中粗脂肪、粗蛋白的高效、准确检测。实验室洗瓶机、可降温样品粉碎机等辅助设备可提高试验的工作效率。微孔酶标仪、微孔板恒温振荡器、自动酶标洗板机可确保霉菌毒素检测无误，保证产品的生物安全。</w:t>
            </w:r>
          </w:p>
          <w:p>
            <w:pPr>
              <w:widowControl/>
              <w:spacing w:line="240" w:lineRule="exact"/>
              <w:jc w:val="center"/>
              <w:rPr>
                <w:rFonts w:hint="eastAsia" w:ascii="仿宋_GB2312" w:hAnsi="宋体" w:eastAsia="仿宋_GB2312" w:cs="宋体"/>
                <w:kern w:val="0"/>
                <w:sz w:val="21"/>
                <w:szCs w:val="21"/>
              </w:rPr>
            </w:pPr>
          </w:p>
        </w:tc>
        <w:tc>
          <w:tcPr>
            <w:tcW w:w="332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该项目所有设备均已安装完成且投入使用。</w:t>
            </w:r>
          </w:p>
        </w:tc>
      </w:tr>
      <w:tr>
        <w:tblPrEx>
          <w:tblLayout w:type="fixed"/>
          <w:tblCellMar>
            <w:top w:w="0" w:type="dxa"/>
            <w:left w:w="108" w:type="dxa"/>
            <w:bottom w:w="0" w:type="dxa"/>
            <w:right w:w="108" w:type="dxa"/>
          </w:tblCellMar>
        </w:tblPrEx>
        <w:trPr>
          <w:trHeight w:val="1260" w:hRule="exact"/>
          <w:jc w:val="center"/>
        </w:trPr>
        <w:tc>
          <w:tcPr>
            <w:tcW w:w="3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4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6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10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9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得分</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单位上级</w:t>
            </w:r>
          </w:p>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w:t>
            </w: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Layout w:type="fixed"/>
          <w:tblCellMar>
            <w:top w:w="0" w:type="dxa"/>
            <w:left w:w="108" w:type="dxa"/>
            <w:bottom w:w="0" w:type="dxa"/>
            <w:right w:w="108" w:type="dxa"/>
          </w:tblCellMar>
        </w:tblPrEx>
        <w:trPr>
          <w:trHeight w:val="3037"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3144" w:type="dxa"/>
            <w:gridSpan w:val="2"/>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自动缝包上签系统、机器人码垛系统、粉碎系统改造及导轨式升降液压平台设备、电动叉车（普通+旋转臂）、蒸汽压片玉米主机、安装及加固、生产风险控制关键点监测系统、环境安全监测系统、电动车充电及电气工程、实验室废气净化处理装置、近红外多功能品质快速分析仪、手持式近红外光谱仪、全自动凯氏定氮仪、自动索氏脂肪仪、微孔酶标仪、自动酶标洗板机、微孔板恒温振荡器、可降温样品粉碎机、实验室洗瓶机</w:t>
            </w:r>
          </w:p>
          <w:p>
            <w:pPr>
              <w:widowControl/>
              <w:spacing w:line="240" w:lineRule="exact"/>
              <w:jc w:val="left"/>
              <w:rPr>
                <w:rFonts w:hint="eastAsia" w:ascii="仿宋_GB2312" w:hAnsi="宋体" w:eastAsia="仿宋_GB2312" w:cs="宋体"/>
                <w:color w:val="000000"/>
                <w:kern w:val="0"/>
                <w:sz w:val="18"/>
                <w:szCs w:val="18"/>
              </w:rPr>
            </w:pPr>
          </w:p>
        </w:tc>
        <w:tc>
          <w:tcPr>
            <w:tcW w:w="1101"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共26台/套</w:t>
            </w:r>
          </w:p>
          <w:p>
            <w:pPr>
              <w:widowControl/>
              <w:spacing w:line="240" w:lineRule="exact"/>
              <w:jc w:val="center"/>
              <w:rPr>
                <w:rFonts w:hint="eastAsia" w:ascii="仿宋_GB2312" w:hAnsi="宋体" w:eastAsia="仿宋_GB2312" w:cs="宋体"/>
                <w:kern w:val="0"/>
                <w:sz w:val="18"/>
                <w:szCs w:val="18"/>
              </w:rPr>
            </w:pPr>
          </w:p>
        </w:tc>
        <w:tc>
          <w:tcPr>
            <w:tcW w:w="915"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26台/套</w:t>
            </w:r>
          </w:p>
        </w:tc>
        <w:tc>
          <w:tcPr>
            <w:tcW w:w="390"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20</w:t>
            </w:r>
          </w:p>
        </w:tc>
        <w:tc>
          <w:tcPr>
            <w:tcW w:w="4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18</w:t>
            </w:r>
          </w:p>
        </w:tc>
        <w:tc>
          <w:tcPr>
            <w:tcW w:w="50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验收合格率</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99%</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99%</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81"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设备质量</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合格</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合格</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31"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招标时间</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22年5月前</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22年6月</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1</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项目内容变更</w:t>
            </w:r>
          </w:p>
        </w:tc>
      </w:tr>
      <w:tr>
        <w:tblPrEx>
          <w:tblLayout w:type="fixed"/>
          <w:tblCellMar>
            <w:top w:w="0" w:type="dxa"/>
            <w:left w:w="108" w:type="dxa"/>
            <w:bottom w:w="0" w:type="dxa"/>
            <w:right w:w="108" w:type="dxa"/>
          </w:tblCellMar>
        </w:tblPrEx>
        <w:trPr>
          <w:trHeight w:val="566"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采购时间</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22年8月前</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22年8月</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3</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3</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rPr>
            </w:pPr>
          </w:p>
        </w:tc>
      </w:tr>
      <w:tr>
        <w:tblPrEx>
          <w:tblLayout w:type="fixed"/>
          <w:tblCellMar>
            <w:top w:w="0" w:type="dxa"/>
            <w:left w:w="108" w:type="dxa"/>
            <w:bottom w:w="0" w:type="dxa"/>
            <w:right w:w="108" w:type="dxa"/>
          </w:tblCellMar>
        </w:tblPrEx>
        <w:trPr>
          <w:trHeight w:val="511"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采购物品到位时间</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22年10月前</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22年11月</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3</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部分设备为进口</w:t>
            </w:r>
          </w:p>
        </w:tc>
      </w:tr>
      <w:tr>
        <w:tblPrEx>
          <w:tblLayout w:type="fixed"/>
          <w:tblCellMar>
            <w:top w:w="0" w:type="dxa"/>
            <w:left w:w="108" w:type="dxa"/>
            <w:bottom w:w="0" w:type="dxa"/>
            <w:right w:w="108" w:type="dxa"/>
          </w:tblCellMar>
        </w:tblPrEx>
        <w:trPr>
          <w:trHeight w:val="661"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验收时间</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22年12月前</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23年3月</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1</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疫情影响设备安装时间推后</w:t>
            </w:r>
          </w:p>
        </w:tc>
      </w:tr>
      <w:tr>
        <w:tblPrEx>
          <w:tblLayout w:type="fixed"/>
          <w:tblCellMar>
            <w:top w:w="0" w:type="dxa"/>
            <w:left w:w="108" w:type="dxa"/>
            <w:bottom w:w="0" w:type="dxa"/>
            <w:right w:w="108" w:type="dxa"/>
          </w:tblCellMar>
        </w:tblPrEx>
        <w:trPr>
          <w:trHeight w:val="456"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项目预算控制数</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937.217288</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853.369</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项目评审后删减</w:t>
            </w:r>
          </w:p>
        </w:tc>
      </w:tr>
      <w:tr>
        <w:tblPrEx>
          <w:tblLayout w:type="fixed"/>
          <w:tblCellMar>
            <w:top w:w="0" w:type="dxa"/>
            <w:left w:w="108" w:type="dxa"/>
            <w:bottom w:w="0" w:type="dxa"/>
            <w:right w:w="108" w:type="dxa"/>
          </w:tblCellMar>
        </w:tblPrEx>
        <w:trPr>
          <w:trHeight w:val="476"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单位购置成本</w:t>
            </w:r>
          </w:p>
        </w:tc>
        <w:tc>
          <w:tcPr>
            <w:tcW w:w="1101" w:type="dxa"/>
            <w:tcBorders>
              <w:top w:val="single" w:color="auto" w:sz="4" w:space="0"/>
              <w:left w:val="nil"/>
              <w:bottom w:val="single" w:color="auto" w:sz="4" w:space="0"/>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kern w:val="0"/>
                <w:sz w:val="18"/>
                <w:szCs w:val="18"/>
                <w:lang w:val="en-US" w:eastAsia="zh-CN" w:bidi="ar-SA"/>
              </w:rPr>
            </w:pPr>
            <w:r>
              <w:rPr>
                <w:rFonts w:hint="default" w:ascii="仿宋_GB2312" w:hAnsi="宋体" w:eastAsia="仿宋_GB2312" w:cs="宋体"/>
                <w:kern w:val="0"/>
                <w:sz w:val="18"/>
                <w:szCs w:val="18"/>
                <w:lang w:val="en-US" w:eastAsia="zh-CN" w:bidi="ar-SA"/>
              </w:rPr>
              <w:t>≤36.046818万元/项</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rPr>
            </w:pPr>
            <w:r>
              <w:rPr>
                <w:rFonts w:hint="default" w:ascii="仿宋_GB2312" w:hAnsi="宋体" w:eastAsia="仿宋_GB2312" w:cs="宋体"/>
                <w:kern w:val="0"/>
                <w:sz w:val="18"/>
                <w:szCs w:val="18"/>
                <w:lang w:val="en-US" w:eastAsia="zh-CN" w:bidi="ar-SA"/>
              </w:rPr>
              <w:t>≤</w:t>
            </w:r>
            <w:r>
              <w:rPr>
                <w:rFonts w:hint="eastAsia" w:ascii="仿宋_GB2312" w:hAnsi="宋体" w:eastAsia="仿宋_GB2312" w:cs="宋体"/>
                <w:kern w:val="0"/>
                <w:sz w:val="18"/>
                <w:szCs w:val="18"/>
                <w:lang w:val="en-US" w:eastAsia="zh-CN" w:bidi="ar-SA"/>
              </w:rPr>
              <w:t>32.821919</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项目评审后删减</w:t>
            </w:r>
          </w:p>
        </w:tc>
      </w:tr>
      <w:tr>
        <w:tblPrEx>
          <w:tblLayout w:type="fixed"/>
          <w:tblCellMar>
            <w:top w:w="0" w:type="dxa"/>
            <w:left w:w="108" w:type="dxa"/>
            <w:bottom w:w="0" w:type="dxa"/>
            <w:right w:w="108" w:type="dxa"/>
          </w:tblCellMar>
        </w:tblPrEx>
        <w:trPr>
          <w:trHeight w:val="868"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67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3144" w:type="dxa"/>
            <w:gridSpan w:val="2"/>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车间自动化设备年累计可节省</w:t>
            </w:r>
          </w:p>
          <w:p>
            <w:pPr>
              <w:widowControl/>
              <w:spacing w:line="240" w:lineRule="exact"/>
              <w:jc w:val="left"/>
              <w:rPr>
                <w:rFonts w:hint="eastAsia" w:ascii="仿宋_GB2312" w:hAnsi="宋体" w:eastAsia="仿宋_GB2312" w:cs="宋体"/>
                <w:color w:val="000000"/>
                <w:kern w:val="0"/>
                <w:sz w:val="18"/>
                <w:szCs w:val="18"/>
              </w:rPr>
            </w:pPr>
          </w:p>
        </w:tc>
        <w:tc>
          <w:tcPr>
            <w:tcW w:w="1101"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8"/>
                <w:szCs w:val="18"/>
                <w:lang w:val="en-US" w:eastAsia="zh-CN" w:bidi="ar-SA"/>
              </w:rPr>
            </w:pPr>
            <w:r>
              <w:rPr>
                <w:rFonts w:hint="eastAsia" w:ascii="仿宋_GB2312" w:hAnsi="宋体" w:eastAsia="仿宋_GB2312" w:cs="宋体"/>
                <w:color w:val="000000"/>
                <w:kern w:val="0"/>
                <w:sz w:val="18"/>
                <w:szCs w:val="18"/>
                <w:lang w:val="en-US" w:eastAsia="zh-CN"/>
              </w:rPr>
              <w:t>7</w:t>
            </w:r>
            <w:r>
              <w:rPr>
                <w:rFonts w:hint="eastAsia" w:ascii="仿宋_GB2312" w:hAnsi="宋体" w:eastAsia="仿宋_GB2312" w:cs="宋体"/>
                <w:color w:val="000000"/>
                <w:kern w:val="0"/>
                <w:sz w:val="18"/>
                <w:szCs w:val="18"/>
              </w:rPr>
              <w:t>9.2万元</w:t>
            </w:r>
          </w:p>
        </w:tc>
        <w:tc>
          <w:tcPr>
            <w:tcW w:w="915"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达到</w:t>
            </w:r>
          </w:p>
        </w:tc>
        <w:tc>
          <w:tcPr>
            <w:tcW w:w="390"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1458"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3144" w:type="dxa"/>
            <w:gridSpan w:val="2"/>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蒸汽压片玉米每小时产能提高</w:t>
            </w:r>
          </w:p>
          <w:p>
            <w:pPr>
              <w:widowControl/>
              <w:spacing w:line="240" w:lineRule="exact"/>
              <w:jc w:val="left"/>
              <w:rPr>
                <w:rFonts w:hint="eastAsia" w:ascii="仿宋_GB2312" w:hAnsi="宋体" w:eastAsia="仿宋_GB2312" w:cs="宋体"/>
                <w:color w:val="000000"/>
                <w:kern w:val="0"/>
                <w:sz w:val="18"/>
                <w:szCs w:val="18"/>
              </w:rPr>
            </w:pPr>
          </w:p>
        </w:tc>
        <w:tc>
          <w:tcPr>
            <w:tcW w:w="1101"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rPr>
              <w:t>25%</w:t>
            </w:r>
          </w:p>
        </w:tc>
        <w:tc>
          <w:tcPr>
            <w:tcW w:w="915" w:type="dxa"/>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压片玉米年增加10332吨，收入3099万元</w:t>
            </w:r>
          </w:p>
          <w:p>
            <w:pPr>
              <w:widowControl/>
              <w:spacing w:line="240" w:lineRule="exact"/>
              <w:jc w:val="center"/>
              <w:rPr>
                <w:rFonts w:hint="eastAsia" w:ascii="仿宋_GB2312" w:hAnsi="宋体" w:eastAsia="仿宋_GB2312" w:cs="宋体"/>
                <w:kern w:val="0"/>
                <w:sz w:val="18"/>
                <w:szCs w:val="18"/>
                <w:lang w:val="en-US" w:eastAsia="zh-CN"/>
              </w:rPr>
            </w:pPr>
          </w:p>
        </w:tc>
        <w:tc>
          <w:tcPr>
            <w:tcW w:w="390"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4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5</w:t>
            </w:r>
          </w:p>
        </w:tc>
        <w:tc>
          <w:tcPr>
            <w:tcW w:w="50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1613"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3144" w:type="dxa"/>
            <w:gridSpan w:val="2"/>
            <w:tcBorders>
              <w:top w:val="single" w:color="auto" w:sz="4" w:space="0"/>
              <w:left w:val="nil"/>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可促进节能减排及</w:t>
            </w:r>
            <w:r>
              <w:rPr>
                <w:rFonts w:hint="eastAsia" w:ascii="仿宋_GB2312" w:hAnsi="宋体" w:eastAsia="仿宋_GB2312" w:cs="宋体"/>
                <w:color w:val="000000"/>
                <w:kern w:val="0"/>
                <w:sz w:val="18"/>
                <w:szCs w:val="18"/>
                <w:lang w:val="en-US" w:eastAsia="zh-CN"/>
              </w:rPr>
              <w:t>提质</w:t>
            </w:r>
            <w:r>
              <w:rPr>
                <w:rFonts w:hint="eastAsia" w:ascii="仿宋_GB2312" w:hAnsi="宋体" w:eastAsia="仿宋_GB2312" w:cs="宋体"/>
                <w:color w:val="000000"/>
                <w:kern w:val="0"/>
                <w:sz w:val="18"/>
                <w:szCs w:val="18"/>
              </w:rPr>
              <w:t>增效。提高生产设备生产效率即为社会减少了能源浪费；加强卫生指标监测则大大降低食品安全的风险性；电动叉车既能提高生产效率，还能为车间工人创造更良好的工作环境，减少污染。</w:t>
            </w:r>
          </w:p>
        </w:tc>
        <w:tc>
          <w:tcPr>
            <w:tcW w:w="1101"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color w:val="000000"/>
                <w:kern w:val="0"/>
                <w:sz w:val="18"/>
                <w:szCs w:val="18"/>
              </w:rPr>
              <w:t>可促进节能减排及</w:t>
            </w:r>
            <w:r>
              <w:rPr>
                <w:rFonts w:hint="eastAsia" w:ascii="仿宋_GB2312" w:hAnsi="宋体" w:eastAsia="仿宋_GB2312" w:cs="宋体"/>
                <w:color w:val="000000"/>
                <w:kern w:val="0"/>
                <w:sz w:val="18"/>
                <w:szCs w:val="18"/>
                <w:lang w:val="en-US" w:eastAsia="zh-CN"/>
              </w:rPr>
              <w:t>提质</w:t>
            </w:r>
            <w:bookmarkStart w:id="0" w:name="_GoBack"/>
            <w:bookmarkEnd w:id="0"/>
            <w:r>
              <w:rPr>
                <w:rFonts w:hint="eastAsia" w:ascii="仿宋_GB2312" w:hAnsi="宋体" w:eastAsia="仿宋_GB2312" w:cs="宋体"/>
                <w:color w:val="000000"/>
                <w:kern w:val="0"/>
                <w:sz w:val="18"/>
                <w:szCs w:val="18"/>
              </w:rPr>
              <w:t>增效</w:t>
            </w:r>
          </w:p>
        </w:tc>
        <w:tc>
          <w:tcPr>
            <w:tcW w:w="915"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达到</w:t>
            </w:r>
          </w:p>
        </w:tc>
        <w:tc>
          <w:tcPr>
            <w:tcW w:w="390"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10</w:t>
            </w:r>
          </w:p>
        </w:tc>
        <w:tc>
          <w:tcPr>
            <w:tcW w:w="4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10</w:t>
            </w:r>
          </w:p>
        </w:tc>
        <w:tc>
          <w:tcPr>
            <w:tcW w:w="50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1353" w:hRule="exact"/>
          <w:jc w:val="center"/>
        </w:trPr>
        <w:tc>
          <w:tcPr>
            <w:tcW w:w="3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4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3144" w:type="dxa"/>
            <w:gridSpan w:val="2"/>
            <w:tcBorders>
              <w:top w:val="single" w:color="auto" w:sz="4" w:space="0"/>
              <w:left w:val="nil"/>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使用人员满意度</w:t>
            </w:r>
          </w:p>
        </w:tc>
        <w:tc>
          <w:tcPr>
            <w:tcW w:w="1101" w:type="dxa"/>
            <w:tcBorders>
              <w:top w:val="single" w:color="auto" w:sz="4" w:space="0"/>
              <w:left w:val="nil"/>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color w:val="000000"/>
                <w:kern w:val="0"/>
                <w:sz w:val="18"/>
                <w:szCs w:val="18"/>
                <w:lang w:val="en-US" w:eastAsia="zh-CN" w:bidi="ar-SA"/>
              </w:rPr>
            </w:pPr>
            <w:r>
              <w:rPr>
                <w:rFonts w:hint="default" w:ascii="仿宋_GB2312" w:hAnsi="宋体" w:eastAsia="仿宋_GB2312" w:cs="宋体"/>
                <w:color w:val="000000"/>
                <w:kern w:val="0"/>
                <w:sz w:val="18"/>
                <w:szCs w:val="18"/>
                <w:lang w:val="en-US" w:eastAsia="zh-CN" w:bidi="ar-SA"/>
              </w:rPr>
              <w:t>≥95%</w:t>
            </w:r>
          </w:p>
        </w:tc>
        <w:tc>
          <w:tcPr>
            <w:tcW w:w="915" w:type="dxa"/>
            <w:tcBorders>
              <w:top w:val="single" w:color="auto" w:sz="4" w:space="0"/>
              <w:left w:val="nil"/>
              <w:right w:val="single" w:color="auto" w:sz="4" w:space="0"/>
            </w:tcBorders>
            <w:noWrap w:val="0"/>
            <w:vAlign w:val="center"/>
          </w:tcPr>
          <w:p>
            <w:pPr>
              <w:pStyle w:val="3"/>
              <w:keepNext w:val="0"/>
              <w:keepLines w:val="0"/>
              <w:widowControl/>
              <w:suppressLineNumbers w:val="0"/>
              <w:ind w:left="0" w:leftChars="0" w:right="0" w:rightChars="0"/>
              <w:rPr>
                <w:rFonts w:hint="eastAsia" w:ascii="仿宋_GB2312" w:hAnsi="宋体" w:eastAsia="仿宋_GB2312" w:cs="宋体"/>
                <w:color w:val="000000"/>
                <w:kern w:val="0"/>
                <w:sz w:val="18"/>
                <w:szCs w:val="18"/>
                <w:lang w:val="en-US" w:eastAsia="zh-CN" w:bidi="ar-SA"/>
              </w:rPr>
            </w:pPr>
            <w:r>
              <w:rPr>
                <w:rFonts w:hint="default" w:ascii="仿宋_GB2312" w:hAnsi="宋体" w:eastAsia="仿宋_GB2312" w:cs="宋体"/>
                <w:color w:val="000000"/>
                <w:kern w:val="0"/>
                <w:sz w:val="18"/>
                <w:szCs w:val="18"/>
                <w:lang w:val="en-US" w:eastAsia="zh-CN" w:bidi="ar-SA"/>
              </w:rPr>
              <w:t>达到</w:t>
            </w:r>
          </w:p>
        </w:tc>
        <w:tc>
          <w:tcPr>
            <w:tcW w:w="390" w:type="dxa"/>
            <w:gridSpan w:val="2"/>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20</w:t>
            </w:r>
          </w:p>
        </w:tc>
        <w:tc>
          <w:tcPr>
            <w:tcW w:w="463" w:type="dxa"/>
            <w:tcBorders>
              <w:top w:val="single" w:color="auto" w:sz="4" w:space="0"/>
              <w:left w:val="nil"/>
              <w:right w:val="single" w:color="auto" w:sz="4" w:space="0"/>
            </w:tcBorders>
            <w:noWrap w:val="0"/>
            <w:vAlign w:val="center"/>
          </w:tcPr>
          <w:p>
            <w:pPr>
              <w:widowControl/>
              <w:spacing w:line="240" w:lineRule="exact"/>
              <w:jc w:val="center"/>
              <w:rPr>
                <w:rFonts w:hint="default" w:ascii="仿宋_GB2312" w:hAnsi="宋体" w:eastAsia="仿宋_GB2312" w:cs="宋体"/>
                <w:kern w:val="0"/>
                <w:sz w:val="11"/>
                <w:szCs w:val="11"/>
                <w:lang w:val="en-US" w:eastAsia="zh-CN"/>
              </w:rPr>
            </w:pPr>
            <w:r>
              <w:rPr>
                <w:rFonts w:hint="eastAsia" w:ascii="仿宋_GB2312" w:hAnsi="宋体" w:eastAsia="仿宋_GB2312" w:cs="宋体"/>
                <w:kern w:val="0"/>
                <w:sz w:val="11"/>
                <w:szCs w:val="11"/>
                <w:lang w:val="en-US" w:eastAsia="zh-CN"/>
              </w:rPr>
              <w:t>20</w:t>
            </w:r>
          </w:p>
        </w:tc>
        <w:tc>
          <w:tcPr>
            <w:tcW w:w="500"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77" w:hRule="exact"/>
          <w:jc w:val="center"/>
        </w:trPr>
        <w:tc>
          <w:tcPr>
            <w:tcW w:w="662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39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1"/>
                <w:szCs w:val="11"/>
              </w:rPr>
            </w:pPr>
            <w:r>
              <w:rPr>
                <w:rFonts w:hint="eastAsia" w:ascii="仿宋_GB2312" w:hAnsi="宋体" w:eastAsia="仿宋_GB2312" w:cs="宋体"/>
                <w:color w:val="000000"/>
                <w:kern w:val="0"/>
                <w:sz w:val="11"/>
                <w:szCs w:val="11"/>
              </w:rPr>
              <w:t>100</w:t>
            </w:r>
          </w:p>
        </w:tc>
        <w:tc>
          <w:tcPr>
            <w:tcW w:w="4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11"/>
                <w:szCs w:val="11"/>
                <w:lang w:val="en-US" w:eastAsia="zh-CN"/>
              </w:rPr>
            </w:pPr>
            <w:r>
              <w:rPr>
                <w:rFonts w:hint="eastAsia" w:ascii="仿宋_GB2312" w:hAnsi="宋体" w:eastAsia="仿宋_GB2312" w:cs="宋体"/>
                <w:color w:val="000000"/>
                <w:kern w:val="0"/>
                <w:sz w:val="11"/>
                <w:szCs w:val="11"/>
                <w:lang w:val="en-US" w:eastAsia="zh-CN"/>
              </w:rPr>
              <w:t>95</w:t>
            </w:r>
          </w:p>
        </w:tc>
        <w:tc>
          <w:tcPr>
            <w:tcW w:w="50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05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hint="eastAsia" w:ascii="仿宋_GB2312" w:hAnsi="宋体" w:eastAsia="仿宋_GB2312" w:cs="宋体"/>
          <w:color w:val="000000"/>
          <w:kern w:val="0"/>
          <w:sz w:val="32"/>
          <w:szCs w:val="32"/>
        </w:rPr>
      </w:pPr>
    </w:p>
    <w:p>
      <w:pPr>
        <w:spacing w:line="480" w:lineRule="exact"/>
        <w:rPr>
          <w:rFonts w:hint="eastAsia"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Y2UzNjE4NjU1MjJiMjI3MzhhYmNlNmVkMmMzZWMifQ=="/>
  </w:docVars>
  <w:rsids>
    <w:rsidRoot w:val="4D5170EA"/>
    <w:rsid w:val="03D65FB8"/>
    <w:rsid w:val="04AB541D"/>
    <w:rsid w:val="065344DE"/>
    <w:rsid w:val="066D46AC"/>
    <w:rsid w:val="07DA31D6"/>
    <w:rsid w:val="08707F57"/>
    <w:rsid w:val="09831C3A"/>
    <w:rsid w:val="104E467D"/>
    <w:rsid w:val="15D57A0A"/>
    <w:rsid w:val="1A096F8D"/>
    <w:rsid w:val="1A231FC1"/>
    <w:rsid w:val="1B99555B"/>
    <w:rsid w:val="1D014069"/>
    <w:rsid w:val="1F69737C"/>
    <w:rsid w:val="27ED6329"/>
    <w:rsid w:val="298D79EA"/>
    <w:rsid w:val="2C8132A3"/>
    <w:rsid w:val="2F885B87"/>
    <w:rsid w:val="30EB33E1"/>
    <w:rsid w:val="31456F95"/>
    <w:rsid w:val="323B1394"/>
    <w:rsid w:val="33D15AAA"/>
    <w:rsid w:val="347D3165"/>
    <w:rsid w:val="3BC1546A"/>
    <w:rsid w:val="3E410AE4"/>
    <w:rsid w:val="3EDB152F"/>
    <w:rsid w:val="45FD3F88"/>
    <w:rsid w:val="4D5170EA"/>
    <w:rsid w:val="4F3E20C8"/>
    <w:rsid w:val="52BC2005"/>
    <w:rsid w:val="5A3A6C18"/>
    <w:rsid w:val="5ADD34EB"/>
    <w:rsid w:val="5B3550D5"/>
    <w:rsid w:val="5D6758EC"/>
    <w:rsid w:val="5DC64CF4"/>
    <w:rsid w:val="63987F7F"/>
    <w:rsid w:val="654D2E36"/>
    <w:rsid w:val="66E37699"/>
    <w:rsid w:val="676500DB"/>
    <w:rsid w:val="6B1B201F"/>
    <w:rsid w:val="6F3B619F"/>
    <w:rsid w:val="6FBF0F06"/>
    <w:rsid w:val="76F901FA"/>
    <w:rsid w:val="77C7419C"/>
    <w:rsid w:val="790463BB"/>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1540</Words>
  <Characters>1752</Characters>
  <Lines>0</Lines>
  <Paragraphs>0</Paragraphs>
  <TotalTime>1</TotalTime>
  <ScaleCrop>false</ScaleCrop>
  <LinksUpToDate>false</LinksUpToDate>
  <CharactersWithSpaces>1789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朱晏如</cp:lastModifiedBy>
  <dcterms:modified xsi:type="dcterms:W3CDTF">2025-03-13T03:25:35Z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92F0E89D2A534DF8823143B3D18D80C2_12</vt:lpwstr>
  </property>
</Properties>
</file>