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548"/>
        <w:gridCol w:w="1320"/>
        <w:gridCol w:w="1118"/>
        <w:gridCol w:w="764"/>
        <w:gridCol w:w="363"/>
        <w:gridCol w:w="226"/>
        <w:gridCol w:w="481"/>
        <w:gridCol w:w="497"/>
        <w:gridCol w:w="346"/>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饲料生产工艺提效降耗及检测化验能力拓展升级</w:t>
            </w:r>
          </w:p>
        </w:tc>
      </w:tr>
      <w:tr>
        <w:tblPrEx>
          <w:tblCellMar>
            <w:top w:w="0" w:type="dxa"/>
            <w:left w:w="108" w:type="dxa"/>
            <w:bottom w:w="0" w:type="dxa"/>
            <w:right w:w="108" w:type="dxa"/>
          </w:tblCellMar>
        </w:tblPrEx>
        <w:trPr>
          <w:trHeight w:val="522"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北京三元种业科技有限公司</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北京三元种业科技有限公司饲料分公司</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邓露芳</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13810185893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6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3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18"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CellMar>
            <w:top w:w="0" w:type="dxa"/>
            <w:left w:w="108" w:type="dxa"/>
            <w:bottom w:w="0" w:type="dxa"/>
            <w:right w:w="108" w:type="dxa"/>
          </w:tblCellMar>
        </w:tblPrEx>
        <w:trPr>
          <w:trHeight w:val="50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6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3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944.375675</w:t>
            </w:r>
          </w:p>
        </w:tc>
        <w:tc>
          <w:tcPr>
            <w:tcW w:w="11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944.313509</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580.6721</w:t>
            </w:r>
          </w:p>
        </w:tc>
        <w:tc>
          <w:tcPr>
            <w:tcW w:w="7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61.49%</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6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3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934.087</w:t>
            </w:r>
          </w:p>
        </w:tc>
        <w:tc>
          <w:tcPr>
            <w:tcW w:w="111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934.087</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570.9570</w:t>
            </w:r>
          </w:p>
        </w:tc>
        <w:tc>
          <w:tcPr>
            <w:tcW w:w="7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61.12%</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6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3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p>
        </w:tc>
        <w:tc>
          <w:tcPr>
            <w:tcW w:w="11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47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6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3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10.288675</w:t>
            </w:r>
          </w:p>
        </w:tc>
        <w:tc>
          <w:tcPr>
            <w:tcW w:w="11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10.226509　</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9.7151</w:t>
            </w:r>
          </w:p>
        </w:tc>
        <w:tc>
          <w:tcPr>
            <w:tcW w:w="7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95.00%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4805"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生产车间通过新增多吸盘柔索机器人实现设备的自动化，减少人力，提高工作效率；引进蒸汽发生器替代传统燃气锅炉，可节约能源，降低能耗成本；颗粒水分调节系统可精准控制颗粒饲料至适宜水分含量，保证颗粒饲料产品的质量和品质；水分在线监测设备，可实现冷却器成品料水分的智能化控制，最终达到水分可控及降本增效；化验室新增质构仪，可满足对饲料原料、饲料产品的物理特性的分析，为原料的收购、存储和产品的加工品质保驾护航；气相离子迁移谱可满足公司对诱食剂的评估及发酵饲料发酵过程中风味物质的产生及变化规律研究；电泳仪及电源、凝胶成像系统等设备可以用来评定植物肽蛋白饲料如发酵豆粕、酶解豆粕中抗原蛋白的降解程度；小型喷雾干燥机和微胶囊质粒机可使对光热敏感、抗逆性差的饲料添加剂，如益生菌、酶制剂等得到很好的保护和干燥，使昔日由于技术障碍得不到深加工开发的传统产品获得了新生；超纯水机可轻松制备高质量超纯水，满足色谱、光谱、质谱分析等大型精密设备分析检测对超纯水的需求。</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该项目所有设备均已安装完成，蒸汽发生器因公司管道天然气刚完工，还未正试通气，所以无法进行调试；柔索机器人目前还处在最后的调试阶段，其他设备均已投入使用。</w:t>
            </w:r>
          </w:p>
        </w:tc>
      </w:tr>
      <w:tr>
        <w:tblPrEx>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9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CellMar>
            <w:top w:w="0" w:type="dxa"/>
            <w:left w:w="108" w:type="dxa"/>
            <w:bottom w:w="0" w:type="dxa"/>
            <w:right w:w="108" w:type="dxa"/>
          </w:tblCellMar>
        </w:tblPrEx>
        <w:trPr>
          <w:trHeight w:val="86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蒸汽发生器</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6台/套</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6台/套</w:t>
            </w:r>
          </w:p>
        </w:tc>
        <w:tc>
          <w:tcPr>
            <w:tcW w:w="589"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481" w:type="dxa"/>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管道天然气未通，无法进行调试</w:t>
            </w:r>
          </w:p>
        </w:tc>
      </w:tr>
      <w:tr>
        <w:tblPrEx>
          <w:tblCellMar>
            <w:top w:w="0" w:type="dxa"/>
            <w:left w:w="108" w:type="dxa"/>
            <w:bottom w:w="0" w:type="dxa"/>
            <w:right w:w="108" w:type="dxa"/>
          </w:tblCellMar>
        </w:tblPrEx>
        <w:trPr>
          <w:trHeight w:val="48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颗粒料水分调节系统</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4台/套</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4台/套</w:t>
            </w:r>
          </w:p>
        </w:tc>
        <w:tc>
          <w:tcPr>
            <w:tcW w:w="589"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81" w:type="dxa"/>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水分在线监测系统</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2台/套</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2台/套</w:t>
            </w:r>
          </w:p>
        </w:tc>
        <w:tc>
          <w:tcPr>
            <w:tcW w:w="589"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81" w:type="dxa"/>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02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多吸盘柔索机器人、质构仪、气相离子迁移谱、电泳仪及电源、凝胶成像分析设备、微胶囊质粒机、小型喷雾干燥机、超纯水机</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8台/套</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8台/套</w:t>
            </w:r>
          </w:p>
        </w:tc>
        <w:tc>
          <w:tcPr>
            <w:tcW w:w="5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81"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柔索机器人还在进行最后阶段的调试</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设备验收合格率</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481" w:type="dxa"/>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年故障次数</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481"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104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完成全年项目任务</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2023年12月</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预计2024年5月底</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管道天然气未通，无法进行调试</w:t>
            </w:r>
          </w:p>
        </w:tc>
      </w:tr>
      <w:tr>
        <w:tblPrEx>
          <w:tblCellMar>
            <w:top w:w="0" w:type="dxa"/>
            <w:left w:w="108" w:type="dxa"/>
            <w:bottom w:w="0" w:type="dxa"/>
            <w:right w:w="108" w:type="dxa"/>
          </w:tblCellMar>
        </w:tblPrEx>
        <w:trPr>
          <w:trHeight w:val="9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完成项目所需资金</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979.446144万</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944.313509万</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64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年累计节约成本</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151.9804万</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达到</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53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培训人员</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30</w:t>
            </w:r>
            <w:r>
              <w:rPr>
                <w:rFonts w:hint="eastAsia" w:ascii="仿宋_GB2312" w:hAnsi="宋体" w:eastAsia="仿宋_GB2312" w:cs="宋体"/>
                <w:kern w:val="0"/>
                <w:sz w:val="21"/>
                <w:szCs w:val="21"/>
                <w:lang w:val="en-US" w:eastAsia="zh-CN"/>
              </w:rPr>
              <w:t>人</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达到</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6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86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设备操作人员及客户</w:t>
            </w:r>
          </w:p>
        </w:tc>
        <w:tc>
          <w:tcPr>
            <w:tcW w:w="111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w:t>
            </w:r>
          </w:p>
        </w:tc>
        <w:tc>
          <w:tcPr>
            <w:tcW w:w="76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达到</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707" w:hRule="exact"/>
          <w:jc w:val="center"/>
        </w:trPr>
        <w:tc>
          <w:tcPr>
            <w:tcW w:w="6415"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8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4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94</w:t>
            </w:r>
          </w:p>
        </w:tc>
        <w:tc>
          <w:tcPr>
            <w:tcW w:w="4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highlight w:val="none"/>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r>
        <w:rPr>
          <w:rFonts w:hint="eastAsia" w:ascii="仿宋_GB2312" w:hAnsi="宋体" w:eastAsia="仿宋_GB2312" w:cs="宋体"/>
          <w:color w:val="000000"/>
          <w:kern w:val="0"/>
          <w:sz w:val="32"/>
          <w:szCs w:val="32"/>
        </w:rPr>
        <w:t>4.90（含）-100分为优、80（含）-90分为良、60（含）-80分为中、60分以下为差。</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Y2UzNjE4NjU1MjJiMjI3MzhhYmNlNmVkMmMzZWMifQ=="/>
  </w:docVars>
  <w:rsids>
    <w:rsidRoot w:val="4D5170EA"/>
    <w:rsid w:val="02FF7BF3"/>
    <w:rsid w:val="03D65FB8"/>
    <w:rsid w:val="04AB541D"/>
    <w:rsid w:val="066D46AC"/>
    <w:rsid w:val="08707F57"/>
    <w:rsid w:val="09831C3A"/>
    <w:rsid w:val="0EDB1514"/>
    <w:rsid w:val="104E467D"/>
    <w:rsid w:val="114D3CFF"/>
    <w:rsid w:val="144B0EEA"/>
    <w:rsid w:val="15D57A0A"/>
    <w:rsid w:val="1A096F8D"/>
    <w:rsid w:val="1B99555B"/>
    <w:rsid w:val="1BA54112"/>
    <w:rsid w:val="1D014069"/>
    <w:rsid w:val="1E0D5462"/>
    <w:rsid w:val="1F69737C"/>
    <w:rsid w:val="204809D3"/>
    <w:rsid w:val="221F1331"/>
    <w:rsid w:val="23B00D6A"/>
    <w:rsid w:val="27ED6329"/>
    <w:rsid w:val="29424B2B"/>
    <w:rsid w:val="298D79EA"/>
    <w:rsid w:val="2D8A6187"/>
    <w:rsid w:val="2F885B87"/>
    <w:rsid w:val="323B1394"/>
    <w:rsid w:val="33D15AAA"/>
    <w:rsid w:val="347D3165"/>
    <w:rsid w:val="36873BAC"/>
    <w:rsid w:val="376C4B50"/>
    <w:rsid w:val="385C12E3"/>
    <w:rsid w:val="3E5E3444"/>
    <w:rsid w:val="3F440589"/>
    <w:rsid w:val="3F8A64BB"/>
    <w:rsid w:val="45FD3F88"/>
    <w:rsid w:val="46805F22"/>
    <w:rsid w:val="49B91E77"/>
    <w:rsid w:val="4B80034F"/>
    <w:rsid w:val="4D5170EA"/>
    <w:rsid w:val="4F3E20C8"/>
    <w:rsid w:val="4F870321"/>
    <w:rsid w:val="52BC2005"/>
    <w:rsid w:val="55144405"/>
    <w:rsid w:val="56187F25"/>
    <w:rsid w:val="56A45C5C"/>
    <w:rsid w:val="59050C34"/>
    <w:rsid w:val="5A3A6C18"/>
    <w:rsid w:val="5C877BB2"/>
    <w:rsid w:val="5D6758EC"/>
    <w:rsid w:val="5DC64CF4"/>
    <w:rsid w:val="66E37699"/>
    <w:rsid w:val="671E7365"/>
    <w:rsid w:val="676500DB"/>
    <w:rsid w:val="6BEC17E0"/>
    <w:rsid w:val="6C7041BF"/>
    <w:rsid w:val="6F3B619F"/>
    <w:rsid w:val="6FBF0F06"/>
    <w:rsid w:val="71265794"/>
    <w:rsid w:val="727D13E4"/>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xinna</cp:lastModifiedBy>
  <dcterms:modified xsi:type="dcterms:W3CDTF">2024-04-23T07:01:00Z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CC7F3764DDF84A30A8FE26B322A9D0E3_12</vt:lpwstr>
  </property>
</Properties>
</file>