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3"/>
        <w:tblW w:w="9038" w:type="dxa"/>
        <w:jc w:val="center"/>
        <w:tblInd w:w="0" w:type="dxa"/>
        <w:tblLayout w:type="fixed"/>
        <w:tblCellMar>
          <w:top w:w="0" w:type="dxa"/>
          <w:left w:w="108" w:type="dxa"/>
          <w:bottom w:w="0" w:type="dxa"/>
          <w:right w:w="108" w:type="dxa"/>
        </w:tblCellMar>
      </w:tblPr>
      <w:tblGrid>
        <w:gridCol w:w="585"/>
        <w:gridCol w:w="975"/>
        <w:gridCol w:w="1105"/>
        <w:gridCol w:w="727"/>
        <w:gridCol w:w="1174"/>
        <w:gridCol w:w="1085"/>
        <w:gridCol w:w="848"/>
        <w:gridCol w:w="422"/>
        <w:gridCol w:w="271"/>
        <w:gridCol w:w="290"/>
        <w:gridCol w:w="500"/>
        <w:gridCol w:w="346"/>
        <w:gridCol w:w="710"/>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市场保障供应设备设施安全更新升级改造项目</w:t>
            </w:r>
          </w:p>
        </w:tc>
      </w:tr>
      <w:tr>
        <w:tblPrEx>
          <w:tblLayout w:type="fixed"/>
          <w:tblCellMar>
            <w:top w:w="0" w:type="dxa"/>
            <w:left w:w="108" w:type="dxa"/>
            <w:bottom w:w="0" w:type="dxa"/>
            <w:right w:w="108" w:type="dxa"/>
          </w:tblCellMar>
        </w:tblPrEx>
        <w:trPr>
          <w:trHeight w:val="43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北京首农食品集团有限公司</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11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北京大红门京深海鲜批发市场有限公司</w:t>
            </w:r>
            <w:r>
              <w:rPr>
                <w:rFonts w:hint="eastAsia" w:ascii="仿宋_GB2312" w:hAnsi="宋体" w:eastAsia="仿宋_GB2312" w:cs="宋体"/>
                <w:kern w:val="0"/>
                <w:sz w:val="21"/>
                <w:szCs w:val="21"/>
              </w:rPr>
              <w:tab/>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吴江涛</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11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13810963488</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74"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5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Layout w:type="fixed"/>
          <w:tblCellMar>
            <w:top w:w="0" w:type="dxa"/>
            <w:left w:w="108" w:type="dxa"/>
            <w:bottom w:w="0" w:type="dxa"/>
            <w:right w:w="108" w:type="dxa"/>
          </w:tblCellMar>
        </w:tblPrEx>
        <w:trPr>
          <w:trHeight w:val="55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857.755810</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857.755810</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767.028303</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0</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90.727507</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622.887824</w:t>
            </w:r>
          </w:p>
        </w:tc>
        <w:tc>
          <w:tcPr>
            <w:tcW w:w="5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767.028303</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767.028303</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597</w:t>
            </w:r>
            <w:r>
              <w:rPr>
                <w:rFonts w:hint="eastAsia" w:ascii="仿宋_GB2312" w:hAnsi="宋体" w:eastAsia="仿宋_GB2312" w:cs="宋体"/>
                <w:kern w:val="0"/>
                <w:sz w:val="21"/>
                <w:szCs w:val="21"/>
                <w:lang w:val="en-US" w:eastAsia="zh-CN"/>
              </w:rPr>
              <w:t>.</w:t>
            </w:r>
            <w:r>
              <w:rPr>
                <w:rFonts w:hint="eastAsia" w:ascii="仿宋_GB2312" w:hAnsi="宋体" w:eastAsia="仿宋_GB2312" w:cs="宋体"/>
                <w:kern w:val="0"/>
                <w:sz w:val="21"/>
                <w:szCs w:val="21"/>
              </w:rPr>
              <w:t xml:space="preserve">610212 </w:t>
            </w:r>
          </w:p>
        </w:tc>
        <w:tc>
          <w:tcPr>
            <w:tcW w:w="5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78%</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5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91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90.727507</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90.727507</w:t>
            </w:r>
          </w:p>
        </w:tc>
        <w:tc>
          <w:tcPr>
            <w:tcW w:w="12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25</w:t>
            </w:r>
            <w:r>
              <w:rPr>
                <w:rFonts w:hint="eastAsia" w:ascii="仿宋_GB2312" w:hAnsi="宋体" w:eastAsia="仿宋_GB2312" w:cs="宋体"/>
                <w:kern w:val="0"/>
                <w:sz w:val="21"/>
                <w:szCs w:val="21"/>
                <w:lang w:val="en-US" w:eastAsia="zh-CN"/>
              </w:rPr>
              <w:t>.</w:t>
            </w:r>
            <w:r>
              <w:rPr>
                <w:rFonts w:hint="eastAsia" w:ascii="仿宋_GB2312" w:hAnsi="宋体" w:eastAsia="仿宋_GB2312" w:cs="宋体"/>
                <w:kern w:val="0"/>
                <w:sz w:val="21"/>
                <w:szCs w:val="21"/>
              </w:rPr>
              <w:t xml:space="preserve">277612 </w:t>
            </w:r>
          </w:p>
        </w:tc>
        <w:tc>
          <w:tcPr>
            <w:tcW w:w="5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28%</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6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京深海鲜批发市场69间冷库改造达到现行国家冷库设计标准，实现冷库运行安全目标；市场内交易区等公共区域的供应保障设备设施的更新改造有效提高了公共服务水平；消防工程改造，极大提高了公共服务的安全性。</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顺利完成了市场东区电缆敷设及电气桥架改造、市场69间冷库改造工程、斯特东区北楼白楼消防工程</w:t>
            </w:r>
          </w:p>
          <w:p>
            <w:pPr>
              <w:widowControl/>
              <w:spacing w:line="240" w:lineRule="exact"/>
              <w:jc w:val="both"/>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、5部电梯安装更换、3-6层供暖设施改造、制冷设备保护项目改造工作。</w:t>
            </w:r>
          </w:p>
        </w:tc>
      </w:tr>
      <w:tr>
        <w:tblPrEx>
          <w:tblLayout w:type="fixed"/>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7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Layout w:type="fixed"/>
          <w:tblCellMar>
            <w:top w:w="0" w:type="dxa"/>
            <w:left w:w="108" w:type="dxa"/>
            <w:bottom w:w="0" w:type="dxa"/>
            <w:right w:w="108" w:type="dxa"/>
          </w:tblCellMar>
        </w:tblPrEx>
        <w:trPr>
          <w:trHeight w:val="5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电力设施改造覆盖面积</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3651</w:t>
            </w:r>
            <w:r>
              <w:rPr>
                <w:rFonts w:hint="eastAsia" w:ascii="仿宋_GB2312" w:hAnsi="宋体" w:eastAsia="仿宋_GB2312" w:cs="宋体"/>
                <w:kern w:val="0"/>
                <w:sz w:val="21"/>
                <w:szCs w:val="21"/>
                <w:lang w:val="en-US" w:eastAsia="zh-CN"/>
              </w:rPr>
              <w:t>平米</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消防设施改造覆盖面积</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6876</w:t>
            </w:r>
            <w:r>
              <w:rPr>
                <w:rFonts w:hint="eastAsia" w:ascii="仿宋_GB2312" w:hAnsi="宋体" w:eastAsia="仿宋_GB2312" w:cs="宋体"/>
                <w:kern w:val="0"/>
                <w:sz w:val="21"/>
                <w:szCs w:val="21"/>
                <w:lang w:val="en-US" w:eastAsia="zh-CN"/>
              </w:rPr>
              <w:t>平米</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冷库改造覆盖面积</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2170</w:t>
            </w:r>
            <w:r>
              <w:rPr>
                <w:rFonts w:hint="eastAsia" w:ascii="仿宋_GB2312" w:hAnsi="宋体" w:eastAsia="仿宋_GB2312" w:cs="宋体"/>
                <w:kern w:val="0"/>
                <w:sz w:val="21"/>
                <w:szCs w:val="21"/>
                <w:lang w:val="en-US" w:eastAsia="zh-CN"/>
              </w:rPr>
              <w:t>平米</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项目验收合格率</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仿宋_GB2312" w:hAnsi="宋体" w:eastAsia="仿宋_GB2312" w:cs="宋体"/>
                <w:kern w:val="0"/>
                <w:sz w:val="21"/>
                <w:szCs w:val="21"/>
                <w:lang w:val="en-US" w:eastAsia="zh-CN"/>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完成全年项目任务</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2023年12月</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2023年12月</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9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完成本项目所需资金</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857.76</w:t>
            </w:r>
            <w:r>
              <w:rPr>
                <w:rFonts w:hint="eastAsia" w:ascii="仿宋_GB2312" w:hAnsi="宋体" w:eastAsia="仿宋_GB2312" w:cs="宋体"/>
                <w:kern w:val="0"/>
                <w:sz w:val="21"/>
                <w:szCs w:val="21"/>
                <w:lang w:val="en-US" w:eastAsia="zh-CN"/>
              </w:rPr>
              <w:t>万</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622.89万</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73</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已竣工验收，结算款结算中</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72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市场营业收入增长</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5%以上</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提升公共服务现代化管理水平和服务功能</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高中低</w:t>
            </w:r>
            <w:r>
              <w:rPr>
                <w:rFonts w:hint="eastAsia" w:ascii="仿宋_GB2312" w:hAnsi="宋体" w:eastAsia="仿宋_GB2312" w:cs="宋体"/>
                <w:kern w:val="0"/>
                <w:sz w:val="21"/>
                <w:szCs w:val="21"/>
                <w:lang w:val="en-US" w:eastAsia="zh-CN"/>
              </w:rPr>
              <w:t>-中</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高</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生态效益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可持续影响指标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2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指标1：客户</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全覆盖</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指标2：经营商户</w:t>
            </w: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全覆盖</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9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p>
        </w:tc>
        <w:tc>
          <w:tcPr>
            <w:tcW w:w="10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6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97.3</w:t>
            </w:r>
          </w:p>
        </w:tc>
        <w:tc>
          <w:tcPr>
            <w:tcW w:w="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3D65FB8"/>
    <w:rsid w:val="04AB541D"/>
    <w:rsid w:val="066D46AC"/>
    <w:rsid w:val="08707F57"/>
    <w:rsid w:val="09831C3A"/>
    <w:rsid w:val="104E467D"/>
    <w:rsid w:val="15D57A0A"/>
    <w:rsid w:val="1A096F8D"/>
    <w:rsid w:val="1B99555B"/>
    <w:rsid w:val="1D014069"/>
    <w:rsid w:val="1F69737C"/>
    <w:rsid w:val="27ED6329"/>
    <w:rsid w:val="298D79EA"/>
    <w:rsid w:val="2D0E398C"/>
    <w:rsid w:val="2F885B87"/>
    <w:rsid w:val="323B1394"/>
    <w:rsid w:val="33D15AAA"/>
    <w:rsid w:val="347D3165"/>
    <w:rsid w:val="45FD3F88"/>
    <w:rsid w:val="46F220AE"/>
    <w:rsid w:val="4B80034F"/>
    <w:rsid w:val="4D5170EA"/>
    <w:rsid w:val="4D9409C8"/>
    <w:rsid w:val="4F3E20C8"/>
    <w:rsid w:val="524C7D26"/>
    <w:rsid w:val="52BC2005"/>
    <w:rsid w:val="59DD2C00"/>
    <w:rsid w:val="5A3A6C18"/>
    <w:rsid w:val="5D6758EC"/>
    <w:rsid w:val="5DC64CF4"/>
    <w:rsid w:val="66E37699"/>
    <w:rsid w:val="676500DB"/>
    <w:rsid w:val="6A1A1DB2"/>
    <w:rsid w:val="6F3B619F"/>
    <w:rsid w:val="6FBF0F06"/>
    <w:rsid w:val="6FD42579"/>
    <w:rsid w:val="6FFB43BB"/>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TSUITING</cp:lastModifiedBy>
  <cp:lastPrinted>2024-04-26T08:36:40Z</cp:lastPrinted>
  <dcterms:modified xsi:type="dcterms:W3CDTF">2024-04-26T08:52:40Z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